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 xml:space="preserve">С вступлением в силу Федерального закона от 22.07.2008 №123-ФЗ «Технический регламент о требованиях пожарной безопасности» (далее – Технический регламент) на территории Российской Федерации, наряду с федеральным государственным пожарным надзором, </w:t>
      </w:r>
      <w:proofErr w:type="gramStart"/>
      <w:r>
        <w:rPr>
          <w:rFonts w:ascii="Georgia" w:hAnsi="Georgia"/>
          <w:color w:val="494949"/>
          <w:sz w:val="21"/>
          <w:szCs w:val="21"/>
        </w:rPr>
        <w:t>внедрена и развивается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новая форма оценки соответствия объектов защиты требованиям пожарной безопасности – независимая оценка пожарного риска (аудит пожарной безопасности).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21"/>
          <w:szCs w:val="21"/>
        </w:rPr>
        <w:t>   Результатом независимой оценки рисков является заключение с </w:t>
      </w:r>
      <w:r>
        <w:rPr>
          <w:rFonts w:ascii="Georgia" w:hAnsi="Georgia"/>
          <w:color w:val="494949"/>
          <w:sz w:val="21"/>
          <w:szCs w:val="21"/>
        </w:rPr>
        <w:t>выводом о выполнении условий соответствия объекта защиты требованиям пожарной безопасности либо, в случае их невыполнения, разработка мер по обеспечению выполнения условий, при которых объект защиты будет соответствовать требованиям пожарной безопасности.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   Таким образом, собственник, с привлечением аккредитованной организации, вправе провести анализ состояния пожарной безопасности на своем объекте и своевременно принять меры по устранению выявленных не дожидаясь инспектора государственного пожарного надзора и соответствующих мер административного воздействия.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   Одновременно, при поступлении в органы ГПН заключения о независимой оценке пожарного риска с положительным выводом о соответствии, проверка данного объекта защиты не планируется в течение   3-х лет.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   Реестр организаций, аккредитованных на осуществление деятельности в области независимой оценки рисков, размещен на сайте </w:t>
      </w:r>
      <w:hyperlink r:id="rId5" w:history="1">
        <w:r>
          <w:rPr>
            <w:rStyle w:val="a5"/>
            <w:rFonts w:ascii="Georgia" w:hAnsi="Georgia"/>
            <w:color w:val="3DA3BE"/>
            <w:sz w:val="21"/>
            <w:szCs w:val="21"/>
          </w:rPr>
          <w:t>Федерального казенного учреждения «Управление госэкспертизы и жилищного обеспечения МЧС России»</w:t>
        </w:r>
      </w:hyperlink>
      <w:r>
        <w:rPr>
          <w:rFonts w:ascii="Georgia" w:hAnsi="Georgia"/>
          <w:color w:val="494949"/>
          <w:sz w:val="21"/>
          <w:szCs w:val="21"/>
        </w:rPr>
        <w:t> (http://www.ge-mchs.ru/Reestr-akkreditovannyh-orgfnisazii). 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   Сегодня, органами федерального государственного пожарного надзора уже взято на учет более 1200 заключений (охвачено более 2% объектов, стоящих на учете), которые учитываются при планировании проверок на территории автономного округа.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 xml:space="preserve">   Дополнительную информацию и разъяснения по инструменту независимой оценки пожарного риска можно получить в территориальных отделах надзорной деятельности </w:t>
      </w:r>
      <w:proofErr w:type="spellStart"/>
      <w:r>
        <w:rPr>
          <w:rFonts w:ascii="Georgia" w:hAnsi="Georgia"/>
          <w:color w:val="494949"/>
          <w:sz w:val="21"/>
          <w:szCs w:val="21"/>
        </w:rPr>
        <w:t>УНДиПР</w:t>
      </w:r>
      <w:proofErr w:type="spellEnd"/>
      <w:r>
        <w:rPr>
          <w:rFonts w:ascii="Georgia" w:hAnsi="Georgia"/>
          <w:color w:val="494949"/>
          <w:sz w:val="21"/>
          <w:szCs w:val="21"/>
        </w:rPr>
        <w:t xml:space="preserve"> Главного управления.</w:t>
      </w:r>
    </w:p>
    <w:p w:rsidR="006941E9" w:rsidRDefault="006941E9" w:rsidP="006941E9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21"/>
          <w:szCs w:val="21"/>
        </w:rPr>
        <w:t>Сообщается в порядке информации.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0D"/>
    <w:rsid w:val="006941E9"/>
    <w:rsid w:val="00E9450D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1E9"/>
    <w:rPr>
      <w:b/>
      <w:bCs/>
    </w:rPr>
  </w:style>
  <w:style w:type="character" w:styleId="a5">
    <w:name w:val="Hyperlink"/>
    <w:basedOn w:val="a0"/>
    <w:uiPriority w:val="99"/>
    <w:semiHidden/>
    <w:unhideWhenUsed/>
    <w:rsid w:val="00694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1E9"/>
    <w:rPr>
      <w:b/>
      <w:bCs/>
    </w:rPr>
  </w:style>
  <w:style w:type="character" w:styleId="a5">
    <w:name w:val="Hyperlink"/>
    <w:basedOn w:val="a0"/>
    <w:uiPriority w:val="99"/>
    <w:semiHidden/>
    <w:unhideWhenUsed/>
    <w:rsid w:val="00694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58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-mchs.ru/Reestr-akkreditovannyh-orgfnisa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2018-03-02T06:09:00Z</dcterms:created>
  <dcterms:modified xsi:type="dcterms:W3CDTF">2018-03-02T06:09:00Z</dcterms:modified>
</cp:coreProperties>
</file>